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720FCD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bookmarkStart w:id="0" w:name="_dx_frag_StartFragment"/>
      <w:bookmarkEnd w:id="0"/>
      <w:r>
        <w:rPr>
          <w:rFonts w:ascii="Arial" w:hAnsi="Arial"/>
          <w:b w:val="0"/>
          <w:i w:val="0"/>
          <w:color w:val="000000"/>
          <w:sz w:val="21"/>
          <w:shd w:val="clear" w:fill="F5F5F5"/>
        </w:rPr>
        <w:br w:type="textWrapping"/>
      </w: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Музыкальный руководитель:</w:t>
      </w: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r>
        <w:rPr>
          <w:rFonts w:ascii="Arial" w:hAnsi="Arial"/>
          <w:b w:val="0"/>
          <w:i w:val="0"/>
          <w:color w:val="000000"/>
          <w:sz w:val="21"/>
          <w:shd w:val="clear" w:fill="F5F5F5"/>
        </w:rPr>
        <w:t>Кароян Мелине Норайровна</w:t>
      </w: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right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r>
        <w:rPr>
          <w:rFonts w:ascii="Times New Roman" w:hAnsi="Times New Roman"/>
          <w:b w:val="1"/>
          <w:i w:val="0"/>
          <w:color w:val="000000"/>
          <w:sz w:val="27"/>
          <w:shd w:val="clear" w:fill="F5F5F5"/>
        </w:rPr>
        <w:t>Актуальность</w:t>
      </w: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  <w:shd w:val="clear" w:fill="F5F5F5"/>
        </w:rPr>
      </w:pP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0"/>
          <w:i w:val="0"/>
          <w:color w:val="000000"/>
          <w:sz w:val="27"/>
        </w:rPr>
        <w:t>Поиск и внедрение новых педагогических и здоровьесберегающих технологий по развитию и коррекции развития детей с ОВЗ в детском саду – является одной из основных задач педагогической работы учреждения на 2018 -2019 г.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0"/>
          <w:i w:val="0"/>
          <w:color w:val="000000"/>
          <w:sz w:val="27"/>
        </w:rPr>
        <w:t>Современному педагогу не малоизвестна такая технология, как логоритмика. Привлекательность в ее доступности, увлекательной игровой форме, интересном по содержанию музыкально-речевом материале, создании на музыкальном занятии положительного эмоционального настроя, развитие не только основных </w:t>
      </w:r>
      <w:r>
        <w:rPr>
          <w:rFonts w:ascii="Times New Roman" w:hAnsi="Times New Roman"/>
          <w:b w:val="1"/>
          <w:i w:val="1"/>
          <w:color w:val="000000"/>
          <w:sz w:val="27"/>
        </w:rPr>
        <w:t>музыкально-ритмические навыков</w:t>
      </w:r>
      <w:r>
        <w:rPr>
          <w:rFonts w:ascii="Times New Roman" w:hAnsi="Times New Roman"/>
          <w:b w:val="0"/>
          <w:i w:val="1"/>
          <w:color w:val="000000"/>
          <w:sz w:val="27"/>
        </w:rPr>
        <w:t>, </w:t>
      </w:r>
      <w:r>
        <w:rPr>
          <w:rFonts w:ascii="Times New Roman" w:hAnsi="Times New Roman"/>
          <w:b w:val="1"/>
          <w:i w:val="1"/>
          <w:color w:val="000000"/>
          <w:sz w:val="27"/>
        </w:rPr>
        <w:t>но и нарушений общей моторики и</w:t>
      </w:r>
      <w:r>
        <w:rPr>
          <w:rFonts w:ascii="Times New Roman" w:hAnsi="Times New Roman"/>
          <w:b w:val="0"/>
          <w:i w:val="1"/>
          <w:color w:val="000000"/>
          <w:sz w:val="27"/>
        </w:rPr>
        <w:t> </w:t>
      </w:r>
      <w:r>
        <w:rPr>
          <w:rFonts w:ascii="Times New Roman" w:hAnsi="Times New Roman"/>
          <w:b w:val="1"/>
          <w:i w:val="1"/>
          <w:color w:val="000000"/>
          <w:sz w:val="27"/>
        </w:rPr>
        <w:t>речевого недоразвития детей.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1"/>
          <w:color w:val="000000"/>
          <w:sz w:val="27"/>
        </w:rPr>
        <w:t>Основополагающий принцип проведения занятий - взаимосвязь речи, музыки и движения</w:t>
      </w:r>
      <w:r>
        <w:rPr>
          <w:rFonts w:ascii="Times New Roman" w:hAnsi="Times New Roman"/>
          <w:b w:val="0"/>
          <w:i w:val="0"/>
          <w:color w:val="000000"/>
          <w:sz w:val="27"/>
        </w:rPr>
        <w:t>. Именно музыка является организующим и руководящим началом. Восприятие речи и музыки осуществляется единой анализаторной системой, поэтому </w:t>
      </w:r>
      <w:r>
        <w:rPr>
          <w:rFonts w:ascii="Times New Roman" w:hAnsi="Times New Roman"/>
          <w:b w:val="1"/>
          <w:i w:val="0"/>
          <w:color w:val="000000"/>
          <w:sz w:val="27"/>
        </w:rPr>
        <w:t>недостатки речевой системы восприятия можно компенсировать с помощью музыкального восприятия</w:t>
      </w:r>
      <w:r>
        <w:rPr>
          <w:rFonts w:ascii="Times New Roman" w:hAnsi="Times New Roman"/>
          <w:b w:val="0"/>
          <w:i w:val="0"/>
          <w:color w:val="000000"/>
          <w:sz w:val="27"/>
        </w:rPr>
        <w:t>. Что немаловажно в коррекционной работе с детьми с ОВЗ!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0"/>
          <w:color w:val="000000"/>
          <w:sz w:val="27"/>
        </w:rPr>
        <w:t>Объект изучения</w:t>
      </w:r>
      <w:r>
        <w:rPr>
          <w:rFonts w:ascii="Times New Roman" w:hAnsi="Times New Roman"/>
          <w:b w:val="0"/>
          <w:i w:val="0"/>
          <w:color w:val="000000"/>
          <w:sz w:val="27"/>
        </w:rPr>
        <w:t> – музыкально - коррекционная работа с детьми с ограниченными возможностями здоровья.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0"/>
          <w:color w:val="000000"/>
          <w:sz w:val="27"/>
        </w:rPr>
        <w:t>Предмет изучения</w:t>
      </w:r>
      <w:r>
        <w:rPr>
          <w:rFonts w:ascii="Times New Roman" w:hAnsi="Times New Roman"/>
          <w:b w:val="0"/>
          <w:i w:val="0"/>
          <w:color w:val="000000"/>
          <w:sz w:val="27"/>
        </w:rPr>
        <w:t> – «Логоритмика», как, здоровьесберегающая технология в работе с детьми с ограниченными возможностями здоровья.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0"/>
          <w:color w:val="000000"/>
          <w:sz w:val="27"/>
        </w:rPr>
        <w:t>Цель самообразования</w:t>
      </w:r>
      <w:r>
        <w:rPr>
          <w:rFonts w:ascii="Times New Roman" w:hAnsi="Times New Roman"/>
          <w:b w:val="0"/>
          <w:i w:val="0"/>
          <w:color w:val="000000"/>
          <w:sz w:val="27"/>
        </w:rPr>
        <w:t> – изучение оздоровительной технологии «Логоритмика», подбор и систематизация методического и практического материала для внедрения данной технологии в образовательный процесс с </w:t>
      </w:r>
      <w:r>
        <w:rPr>
          <w:rFonts w:ascii="Times New Roman" w:hAnsi="Times New Roman"/>
          <w:b w:val="1"/>
          <w:i w:val="0"/>
          <w:color w:val="000000"/>
          <w:sz w:val="27"/>
          <w:u w:val="single"/>
        </w:rPr>
        <w:t>детьми с ОВЗ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0"/>
          <w:color w:val="000000"/>
          <w:sz w:val="27"/>
        </w:rPr>
        <w:t>Цель занятий</w:t>
      </w:r>
      <w:r>
        <w:rPr>
          <w:rFonts w:ascii="Times New Roman" w:hAnsi="Times New Roman"/>
          <w:b w:val="0"/>
          <w:i w:val="0"/>
          <w:color w:val="000000"/>
          <w:sz w:val="27"/>
        </w:rPr>
        <w:t> - коррекция двигательной сферы детей с ОВЗ в сочетании со словом и движением, с соблюдением основных педагогических принципов — последовательности, постепенного усложнения и повторяемости материала, в зависимости от психологических особенностей детей.</w:t>
      </w: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r>
        <w:rPr>
          <w:rFonts w:ascii="Times New Roman" w:hAnsi="Times New Roman"/>
          <w:b w:val="1"/>
          <w:i w:val="0"/>
          <w:color w:val="000000"/>
          <w:sz w:val="27"/>
          <w:shd w:val="clear" w:fill="F5F5F5"/>
        </w:rPr>
        <w:t>Задачи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1.Провести анализ результатов использования логоритмики в педагогической практике с детьми с ОВЗ (опыт использования на педагогических форумах в соц. сетях, теоретические понятия проблемы известными педагогами мира ).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2.Разработка практического и методического материала для внедрения технологии в образовательный процесс.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3.Создание благоприятных условий для детей с ОВЗ, установление контакта с каждым ребенком с целью выявления его двигательных и психологических особенностей, а также музыкальных возможностей.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4. Осуществление коррекционной работы в процессе ООД «Музыка».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5.Поделиться опытом изучения темы с педагогическим сообществом.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Arial" w:hAnsi="Arial"/>
          <w:b w:val="0"/>
          <w:i w:val="0"/>
          <w:color w:val="000000"/>
          <w:sz w:val="21"/>
        </w:rPr>
        <w:br w:type="textWrapping"/>
      </w: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0"/>
          <w:color w:val="000000"/>
          <w:sz w:val="27"/>
        </w:rPr>
        <w:t>Ожидаемый результат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0"/>
          <w:i w:val="0"/>
          <w:color w:val="000000"/>
          <w:sz w:val="27"/>
        </w:rPr>
        <w:t>Изучение проблематики темы и особенностей психолого –педагогической работы с детьми с ОВЗ с использованием данной технологии обеспечит эффективное внедрение данной технологии в образовательный процесс.</w:t>
      </w: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0"/>
          <w:color w:val="000000"/>
          <w:sz w:val="27"/>
        </w:rPr>
        <w:t>Теоретическая часть</w:t>
      </w: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1"/>
          <w:color w:val="000000"/>
          <w:sz w:val="27"/>
        </w:rPr>
        <w:t>Изучение методической литературы:</w:t>
      </w:r>
    </w:p>
    <w:p>
      <w:pPr>
        <w:numPr>
          <w:ilvl w:val="0"/>
          <w:numId w:val="1"/>
        </w:numPr>
        <w:spacing w:lineRule="atLeast" w:line="294" w:before="0" w:after="0"/>
        <w:ind w:hanging="360" w:left="720" w:right="0"/>
        <w:jc w:val="both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auto"/>
          <w:sz w:val="27"/>
          <w:shd w:val="clear" w:fill="F5F5F5"/>
        </w:rPr>
        <w:t>Амонашвили Ш.А. Спешите дети, будем учиться летать. Изд. Дом Шалвы Амонашвили. Лаборатория гуманит. Пед. МГПУ.- М., 2005- 329 с.</w:t>
      </w:r>
    </w:p>
    <w:p>
      <w:pPr>
        <w:numPr>
          <w:ilvl w:val="0"/>
          <w:numId w:val="1"/>
        </w:numPr>
        <w:spacing w:lineRule="atLeast" w:line="294" w:before="0" w:after="0"/>
        <w:ind w:hanging="360" w:left="720" w:right="0"/>
        <w:jc w:val="both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auto"/>
          <w:sz w:val="27"/>
          <w:shd w:val="clear" w:fill="F5F5F5"/>
        </w:rPr>
        <w:t>Болотов В.А. Об интегрированном воспитании и обучении детей с отклонениями в развитии в дошкольных образовательных учреждениях. Метод. Письмо Министерства образования РФ. М., 2002. - 12 с.</w:t>
      </w:r>
    </w:p>
    <w:p>
      <w:pPr>
        <w:numPr>
          <w:ilvl w:val="0"/>
          <w:numId w:val="1"/>
        </w:numPr>
        <w:spacing w:lineRule="atLeast" w:line="294" w:before="0" w:after="0"/>
        <w:ind w:hanging="360" w:left="720" w:right="0"/>
        <w:jc w:val="both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auto"/>
          <w:sz w:val="27"/>
          <w:shd w:val="clear" w:fill="F5F5F5"/>
        </w:rPr>
        <w:t>Жулина Е.В. Основы социальной реабилитации. ТЦ Сфера. М., 2005 - 187 с.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Arial" w:hAnsi="Arial"/>
          <w:b w:val="0"/>
          <w:i w:val="0"/>
          <w:color w:val="000000"/>
          <w:sz w:val="21"/>
        </w:rPr>
        <w:br w:type="textWrapping"/>
      </w: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1"/>
          <w:color w:val="000000"/>
          <w:sz w:val="27"/>
        </w:rPr>
        <w:t>Изучение материалов из периодической печати:</w:t>
      </w:r>
    </w:p>
    <w:p>
      <w:pPr>
        <w:numPr>
          <w:ilvl w:val="0"/>
          <w:numId w:val="2"/>
        </w:numPr>
        <w:spacing w:lineRule="atLeast" w:line="294" w:before="0" w:after="0"/>
        <w:ind w:hanging="360" w:left="720" w:right="0"/>
        <w:jc w:val="both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Журнал «Ребенок в детском саду».</w:t>
      </w:r>
    </w:p>
    <w:p>
      <w:pPr>
        <w:numPr>
          <w:ilvl w:val="0"/>
          <w:numId w:val="2"/>
        </w:numPr>
        <w:spacing w:lineRule="atLeast" w:line="294" w:before="0" w:after="0"/>
        <w:ind w:hanging="360" w:left="720" w:right="0"/>
        <w:jc w:val="both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Журнал «Обруч» Логоигры 2,2005г</w:t>
      </w:r>
    </w:p>
    <w:p>
      <w:pPr>
        <w:numPr>
          <w:ilvl w:val="0"/>
          <w:numId w:val="2"/>
        </w:numPr>
        <w:spacing w:lineRule="atLeast" w:line="294" w:before="0" w:after="0"/>
        <w:ind w:hanging="360" w:left="720" w:right="0"/>
        <w:jc w:val="both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Журнал «Музыкальный руководитель»</w:t>
      </w:r>
    </w:p>
    <w:p>
      <w:pPr>
        <w:numPr>
          <w:ilvl w:val="0"/>
          <w:numId w:val="2"/>
        </w:numPr>
        <w:spacing w:lineRule="atLeast" w:line="294" w:before="0" w:after="0"/>
        <w:ind w:hanging="360" w:left="720" w:right="0"/>
        <w:jc w:val="both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Журнал «Музыкальная палитра»</w:t>
      </w:r>
    </w:p>
    <w:p>
      <w:pPr>
        <w:numPr>
          <w:ilvl w:val="0"/>
          <w:numId w:val="2"/>
        </w:numPr>
        <w:spacing w:lineRule="atLeast" w:line="294" w:before="0" w:after="0"/>
        <w:ind w:hanging="360" w:left="720" w:right="0"/>
        <w:jc w:val="both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Журнал «Справочник музыкального руководителя.</w:t>
      </w: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Arial" w:hAnsi="Arial"/>
          <w:b w:val="0"/>
          <w:i w:val="0"/>
          <w:color w:val="000000"/>
          <w:sz w:val="21"/>
        </w:rPr>
        <w:br w:type="textWrapping"/>
      </w:r>
    </w:p>
    <w:p>
      <w:pPr>
        <w:spacing w:lineRule="atLeast" w:line="294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Times New Roman" w:hAnsi="Times New Roman"/>
          <w:b w:val="1"/>
          <w:i w:val="0"/>
          <w:color w:val="000000"/>
          <w:sz w:val="27"/>
        </w:rPr>
        <w:t>Практическая часть</w:t>
      </w:r>
    </w:p>
    <w:p>
      <w:pPr>
        <w:spacing w:lineRule="atLeast" w:line="294"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21"/>
        </w:rPr>
      </w:pPr>
      <w:r>
        <w:rPr>
          <w:rFonts w:ascii="Arial" w:hAnsi="Arial"/>
          <w:b w:val="0"/>
          <w:i w:val="0"/>
          <w:color w:val="000000"/>
          <w:sz w:val="21"/>
        </w:rPr>
        <w:br w:type="textWrapping"/>
      </w:r>
    </w:p>
    <w:p>
      <w:pPr>
        <w:numPr>
          <w:ilvl w:val="0"/>
          <w:numId w:val="3"/>
        </w:numPr>
        <w:spacing w:lineRule="atLeast" w:line="294" w:before="0" w:after="0"/>
        <w:ind w:hanging="360" w:left="720" w:right="0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Разработка перспективного планирования.</w:t>
      </w:r>
    </w:p>
    <w:p>
      <w:pPr>
        <w:numPr>
          <w:ilvl w:val="0"/>
          <w:numId w:val="3"/>
        </w:numPr>
        <w:spacing w:lineRule="atLeast" w:line="294" w:before="0" w:after="0"/>
        <w:ind w:hanging="360" w:left="720" w:right="0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Подбор практического материала (система упражнений, игр, аудио-видео материалов).</w:t>
      </w:r>
    </w:p>
    <w:p>
      <w:pPr>
        <w:numPr>
          <w:ilvl w:val="0"/>
          <w:numId w:val="3"/>
        </w:numPr>
        <w:spacing w:lineRule="atLeast" w:line="294" w:before="0" w:after="0"/>
        <w:ind w:hanging="360" w:left="720" w:right="0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Разработка планов занятий в сотрудничестве с учителем – логопедом, психологом, согласно планированию индивидуальных образовательных программ и маршрутов работы с детьми с ОВЗ.</w:t>
      </w:r>
    </w:p>
    <w:p>
      <w:pPr>
        <w:numPr>
          <w:ilvl w:val="0"/>
          <w:numId w:val="3"/>
        </w:numPr>
        <w:spacing w:lineRule="atLeast" w:line="294" w:before="0" w:after="0"/>
        <w:ind w:hanging="360" w:left="720" w:right="0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Обновление сборника видеоматериалов «Логопедические распевки»</w:t>
      </w:r>
      <w:r>
        <w:rPr>
          <w:rFonts w:ascii="Tahoma" w:hAnsi="Tahoma"/>
          <w:b w:val="0"/>
          <w:i w:val="0"/>
          <w:color w:val="000000"/>
          <w:sz w:val="27"/>
          <w:shd w:val="clear" w:fill="F5F5F5"/>
        </w:rPr>
        <w:t>, </w:t>
      </w: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 альбома по дыхательной гимнастике , «Забавные чистоговорки с музыкой» </w:t>
      </w:r>
      <w:r>
        <w:rPr>
          <w:rFonts w:ascii="Tahoma" w:hAnsi="Tahoma"/>
          <w:b w:val="0"/>
          <w:i w:val="0"/>
          <w:color w:val="000000"/>
          <w:sz w:val="27"/>
          <w:shd w:val="clear" w:fill="F5F5F5"/>
        </w:rPr>
        <w:t>,</w:t>
      </w: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 картотеки «Игры на развитие речевого дыхания».</w:t>
      </w:r>
    </w:p>
    <w:p>
      <w:pPr>
        <w:numPr>
          <w:ilvl w:val="0"/>
          <w:numId w:val="3"/>
        </w:numPr>
        <w:spacing w:lineRule="atLeast" w:line="294" w:before="0" w:after="0"/>
        <w:ind w:hanging="360" w:left="720" w:right="0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Внедрение оздоровительной технологии в образовательный процесс.</w:t>
      </w:r>
    </w:p>
    <w:p>
      <w:pPr>
        <w:numPr>
          <w:ilvl w:val="0"/>
          <w:numId w:val="3"/>
        </w:numPr>
        <w:spacing w:lineRule="atLeast" w:line="294" w:before="0" w:after="0"/>
        <w:ind w:hanging="360" w:left="720" w:right="0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Отчёт по теме самообразования.</w:t>
      </w:r>
    </w:p>
    <w:p>
      <w:pPr>
        <w:numPr>
          <w:ilvl w:val="0"/>
          <w:numId w:val="3"/>
        </w:numPr>
        <w:spacing w:lineRule="atLeast" w:line="294" w:before="0" w:after="0"/>
        <w:ind w:hanging="360" w:left="720" w:right="0"/>
        <w:rPr>
          <w:rFonts w:ascii="Arial" w:hAnsi="Arial"/>
          <w:b w:val="0"/>
          <w:i w:val="0"/>
          <w:color w:val="auto"/>
          <w:sz w:val="21"/>
          <w:shd w:val="clear" w:fill="F5F5F5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Мастер класс для педагогов по теме самообразования на Фестивале – ярмарке «Педагогическая идея»</w:t>
      </w:r>
    </w:p>
    <w:p>
      <w:pPr>
        <w:spacing w:lineRule="auto" w:line="240" w:after="0"/>
      </w:pPr>
      <w:r>
        <w:rPr>
          <w:rFonts w:ascii="Times New Roman" w:hAnsi="Times New Roman"/>
          <w:b w:val="0"/>
          <w:i w:val="0"/>
          <w:color w:val="000000"/>
          <w:sz w:val="27"/>
          <w:shd w:val="clear" w:fill="F5F5F5"/>
        </w:rPr>
        <w:t>Обобщить и транслировать накопленный педагогический опыт среди коллег на муниципальном, региональном и всероссийском уровне.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EF83F21"/>
    <w:multiLevelType w:val="hybridMultilevel"/>
    <w:lvl w:ilvl="0" w:tplc="44C65CF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3C4E73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2B63BB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4D00C5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5E8EF8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4A47E3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5F1C46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1ADB20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1A106D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707281A7"/>
    <w:multiLevelType w:val="hybridMultilevel"/>
    <w:lvl w:ilvl="0" w:tplc="639028C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F0C34F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4125BA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3DAAFE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35C2F0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042EB3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A8DF2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14419B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B2774F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0A572848"/>
    <w:multiLevelType w:val="hybridMultilevel"/>
    <w:lvl w:ilvl="0" w:tplc="1BC8639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C65B21B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A7B913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E4182D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3423CE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3FCEB8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F5D845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4B07C7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A67357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