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В старшем дошкольном возрасте дети с ОВЗ</w:t>
      </w:r>
      <w:r w:rsidR="002459BB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преобладает коллективное общение. На физкультурных мероприятиях  дети учатся слушать и слышать инструктора по физической культуре, его задания, команды не перебивая, ждать очереди выполнения упражнений; готовы более длительное время концентрировать свое внимание. 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Движения детей с ОВЗ замедленные, это связано с их индивидуальными особенностями, предпочитают в играх – упражнениях использовать дидактический материал, яркие мячи, спортивный инвентарь. </w:t>
      </w:r>
      <w:r w:rsidR="00C1465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Во время непосредственной образовательной деятельности в подвижных, малоподвижных и </w:t>
      </w:r>
      <w:proofErr w:type="spellStart"/>
      <w:r w:rsidR="00C1465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речедвигательных</w:t>
      </w:r>
      <w:proofErr w:type="spellEnd"/>
      <w:r w:rsidR="00C1465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игр у детей развивается речь и общение друг с другом. Воспитатель продолжает формировать общение детей и разговорную речь в процессе повседневной деятельности.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Если в младших группах воспитатель в основном побуждает детей к инициативным высказываниям, то теперь большее внимание он обращает на содержание детской речи, ее правильность. С детьми можно разговаривать о том, что они видели на улице, о прочитанных книгах. Они вспоминают ход событий, используют образные выражения, сравнения, красивые описания. Повышаются требования к поведению детей во время разговора: они не могут прерывать разговор и уходить; должны говорить спокойно, четко, не торопясь, поочередно.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В непосредственном общении с воспитателем дети задают много вопросов, которые показывают, как растут их сознание, интересы, расширяется круг знаний. Они живо интересуются жизнью взрослых, окружающими предметами, природой. Воспитатель внимательно вслушивается в вопросы и понятно отвечает на них, организует их обсуждение. При ответах на вопросы следует опираться на опыт детей, на наглядность. Иногда при нежелательных вопросах о вульгарных словах целесообразно, кратко объяснив, что это слово нехорошее, переключить внимание детей на что-нибудь другое. Бывают такие вопросы, на которые воспитатель не знает ответа. В подобных случаях следует говорить, что он почитает об этом и расскажет в следующий раз.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Нужно обращать внимание на правильность построения детьми вопросов.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Для формирования диалогической речи используется прием словесных поручений (попросить у помощника воспитателя тряпочку для мытья кубиков, сходить в соседнюю группу за книгой и т. п.). Особенно велико значение этого приема в освоении речевого этикета. Сначала к таким поручениям привлекают самых общительных детей, а постепенно и менее активных. Педагог дает образец словесной просьбы, который дети могут повторить. «Ира, пожалуйста, пойди к Анне Ивановне и скажи: «Анна Ивановна, если вам не трудно, поменяйте нам воду в тазу, мы моем кубики». По мере накопления опыта общения надобность в образце </w:t>
      </w:r>
      <w:bookmarkStart w:id="0" w:name="_GoBack"/>
      <w:bookmarkEnd w:id="0"/>
      <w:r w:rsidR="002459BB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отпадает,</w:t>
      </w: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и ребенок сам выбирает подходящую формулу.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lastRenderedPageBreak/>
        <w:t xml:space="preserve">Для развития диалогической речи в старшем дошкольном возрасте большое значение имеет совместная деятельность. В процессе ее возникают задачи инструктирования, обсуждения, согласования, оценки действий. Устанавливается контакт и поддерживается взаимосвязь, происходит обмен мнениями, замыслами, возникает взаимопонимание, стимулируется активность. При этом главными условиями для развития диалогической речи являются инициативность и активность самого ребенка, которые должны всемерно побуждаться и поощряться. Установлено, что влияние совместной деятельности детей на диалогическую речь значительно повышается, если им показать, что ее успех зависит от умения общаться, договариваться. Совместная деятельность способствует осознанию детьми необходимости владения диалогическими умениями, </w:t>
      </w:r>
      <w:r w:rsidR="002459BB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а, следовательно</w:t>
      </w: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, и развивает их.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Подлинной социальной практикой ребенка является игра (А. В. Запорожец). Известно, что в игре развиваются два типа отношений: а) реальные детские взаимоотношения и б) игровые отношения. Оба типа отношений включают диалогическое общение, причем уже в средней группе в играх наблюдаются диалоги с монологическими вставками.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Для обучения детей способам общения в игре можно применять беседы-обсуждения игровых ситуаций, предложенных воспитателем; беседы по содержанию художественных произведений, отображающих общение детей; игры-драматизации и беседы по ним, вовлечение в совместную деятельность и обсуждение ее организации и результатов.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Эффективным методом развития диалогической речи является дидактическая игра. В младших группах особенно полезны игры с образными игрушками. Воспитатель разыгрывает инсценировки (с куклой, мишкой, Незнайкой) и ведет разговор от имени персонажа. Сюжеты для сценариев берутся из детской жизни, из хорошо знакомых детям художественных произведений.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В методике разработано много дидактических игр, направленных на комплексное развитие речи. Задачи обучения диалогической речи решаются во взаимосвязи с задачами развития словаря, грамматической и фонетической сторон речи.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Полезно использовать подвижные игры, которые содержат диалоги («Гуси-лебеди», «Обыкновенные жмурки», «Фанты», «Краски», «Коршун» и др.). В них закрепляются умения адресовать речь собеседнику, вдумываться в сказанное партнерами, выражать свою точку зрения, формулировать вопрос правильно.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Целенаправленное обучение диалогической речи происходит в специально организованных речевых ситуациях. Они направлены на развитие умений договариваться во время общения, расспрашивать собеседника, вступать в чей-то разговор, соблюдать правила речевого этикета, высказывать сочувствие, убеждать, доказывать свою точку зрения.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lastRenderedPageBreak/>
        <w:t xml:space="preserve">Методика использования речевых ситуаций может включать решение коммуникативных задач: 1) на вербальной основе и 2) на основе изображения детьми определенных ситуаций по заданию воспитателя. В первом случае предлагается ситуация типа речевой логической задачи, завершающейся вопросом к детям, на который они должны ответить. Во втором случае дети выполняют задачу в практическом плане (СНОСКА: Материалы исследования А. А. </w:t>
      </w:r>
      <w:proofErr w:type="spellStart"/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Лукьяницы</w:t>
      </w:r>
      <w:proofErr w:type="spellEnd"/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и М. В. Ремизовой (научный руководитель В. И. Яшина)).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Приведем примеры ситуаций для средней группы: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1. Воспитатель рассказывает: «Антоша, Кирюша и Незнайка решили построить из кубиков дом. Антоша говорит: «Я предлагаю построить дом, а рядом гараж». Кирюша сказал: «Я согласен, у нас будет дом для людей, а в гараже уместятся все машины». В разговор вступил Незнайка: «Глупости вы говорите, нужен не один дом, а много». Кирюша ему ответил: «Незнайка, если ты не согласен с нами, скажи об этом, не надо нас обижать». «Очень надо! Вы еще маленькие и глупые, строить не умеете!» – возразил Незнайка. Антоша грустно покачал головой и сказал: «Прости, Незнайка, но мы не будем с тобой строить».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Ребята, как вы думаете, почему он так сказал? Как надо относиться к собеседникам во время разговора?»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2. а) Воспитатель говорит: «У Тани день рождения. Ребята пришли ее поздравить. Покажите, как они будут это делать».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б) «Сегодня открылся книжный магазин, я – продавец, жду покупателей. Покажите, как надо вести разговор с продавцом».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Коммуникативные ситуации могут отражать разные задачи диалога: вступать в разговор, договариваться в ходе общения о чем-либо, расспрашивать, получать необходимую информацию, пользоваться формулами речевого этикета.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В старшем дошкольном возрасте детям предлагают более сложные задачи: выполнить какое-либо действие (нарисовать что-то), расспросив предварительно партнера; договориться с паромщиком о переправе на другой берег реки; поговорить с Незнайкой на определенную тему (о любимом животном); проанализировать и оценить поведение Незнайки в гостях у Чебурашки и т. п.</w:t>
      </w:r>
    </w:p>
    <w:p w:rsidR="00EB35B2" w:rsidRDefault="00EB35B2" w:rsidP="00EB35B2">
      <w:pPr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Следует отметить, что отдельные диалогические умения (</w:t>
      </w:r>
      <w:proofErr w:type="spellStart"/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адресовывать</w:t>
      </w:r>
      <w:proofErr w:type="spellEnd"/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речь собеседнику, привлекать его внимание к себе, общаться в доброжелательной форме) проявляются лишь под контролем взрослого. Необходимо создавать условия для переноса этих умений в повседневную жизнь, поощрять позитивное диалогическое общение детей («Всегда приятно общаться с </w:t>
      </w:r>
      <w:r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lastRenderedPageBreak/>
        <w:t>вежливым человеком!» или: «Когда обращаются в вежливой форме, невозможно отказать в просьбе!»).</w:t>
      </w:r>
    </w:p>
    <w:p w:rsidR="00EB35B2" w:rsidRDefault="00EB35B2" w:rsidP="00EB35B2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94925" w:rsidRDefault="00194925"/>
    <w:sectPr w:rsidR="0019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8"/>
    <w:rsid w:val="00194925"/>
    <w:rsid w:val="002459BB"/>
    <w:rsid w:val="00347398"/>
    <w:rsid w:val="00C14655"/>
    <w:rsid w:val="00E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E059"/>
  <w15:docId w15:val="{8903364F-F0A8-4557-8841-67E3A3B9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Asus</cp:lastModifiedBy>
  <cp:revision>5</cp:revision>
  <dcterms:created xsi:type="dcterms:W3CDTF">2019-04-01T09:21:00Z</dcterms:created>
  <dcterms:modified xsi:type="dcterms:W3CDTF">2019-05-30T12:59:00Z</dcterms:modified>
</cp:coreProperties>
</file>